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900AF">
        <w:rPr>
          <w:bCs/>
          <w:color w:val="0070C0"/>
          <w:sz w:val="20"/>
          <w:szCs w:val="20"/>
        </w:rPr>
        <w:t>11</w:t>
      </w:r>
      <w:r w:rsidR="007854FB">
        <w:rPr>
          <w:bCs/>
          <w:color w:val="0070C0"/>
          <w:sz w:val="20"/>
          <w:szCs w:val="20"/>
        </w:rPr>
        <w:t>.</w:t>
      </w:r>
      <w:r w:rsidR="004D4702">
        <w:rPr>
          <w:bCs/>
          <w:color w:val="0070C0"/>
          <w:sz w:val="20"/>
          <w:szCs w:val="20"/>
        </w:rPr>
        <w:t>0</w:t>
      </w:r>
      <w:r w:rsidR="00EA2C8D">
        <w:rPr>
          <w:bCs/>
          <w:color w:val="0070C0"/>
          <w:sz w:val="20"/>
          <w:szCs w:val="20"/>
        </w:rPr>
        <w:t>6</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EA2C8D">
        <w:rPr>
          <w:bCs/>
          <w:color w:val="0070C0"/>
          <w:sz w:val="20"/>
          <w:szCs w:val="20"/>
        </w:rPr>
        <w:t>9</w:t>
      </w:r>
      <w:r w:rsidR="00925DA4">
        <w:rPr>
          <w:bCs/>
          <w:color w:val="0070C0"/>
          <w:sz w:val="20"/>
          <w:szCs w:val="20"/>
        </w:rPr>
        <w:t>81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16AD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9 378 250,3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16AD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49 535,9</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9 378 250,3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51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C51B51">
              <w:rPr>
                <w:rFonts w:ascii="Times New Roman" w:eastAsia="Times New Roman" w:hAnsi="Times New Roman"/>
                <w:sz w:val="24"/>
                <w:szCs w:val="24"/>
                <w:lang w:eastAsia="ru-RU"/>
              </w:rPr>
              <w:t>4 099 981,0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766 911,7</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794 448,0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51B51"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3 928 835,1</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51B51">
              <w:rPr>
                <w:rFonts w:ascii="Times New Roman" w:eastAsia="Times New Roman" w:hAnsi="Times New Roman"/>
                <w:color w:val="000000"/>
                <w:sz w:val="24"/>
                <w:szCs w:val="24"/>
                <w:lang w:eastAsia="ru-RU"/>
              </w:rPr>
              <w:t> 099 981,0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A736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794 448,9</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766 911,7</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3838D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69 196,5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B7" w:rsidRDefault="005738B7" w:rsidP="00D14AD3">
      <w:pPr>
        <w:spacing w:after="0" w:line="240" w:lineRule="auto"/>
      </w:pPr>
      <w:r>
        <w:separator/>
      </w:r>
    </w:p>
  </w:endnote>
  <w:endnote w:type="continuationSeparator" w:id="0">
    <w:p w:rsidR="005738B7" w:rsidRDefault="005738B7"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B7" w:rsidRDefault="005738B7" w:rsidP="00D14AD3">
      <w:pPr>
        <w:spacing w:after="0" w:line="240" w:lineRule="auto"/>
      </w:pPr>
      <w:r>
        <w:separator/>
      </w:r>
    </w:p>
  </w:footnote>
  <w:footnote w:type="continuationSeparator" w:id="0">
    <w:p w:rsidR="005738B7" w:rsidRDefault="005738B7"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F28C0" w:rsidRPr="00220534" w:rsidRDefault="001F28C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4213F6">
          <w:rPr>
            <w:rFonts w:ascii="Times New Roman" w:hAnsi="Times New Roman"/>
            <w:noProof/>
            <w:sz w:val="28"/>
            <w:szCs w:val="28"/>
          </w:rPr>
          <w:t>33</w:t>
        </w:r>
        <w:r w:rsidRPr="00220534">
          <w:rPr>
            <w:rFonts w:ascii="Times New Roman" w:hAnsi="Times New Roman"/>
            <w:sz w:val="28"/>
            <w:szCs w:val="28"/>
          </w:rPr>
          <w:fldChar w:fldCharType="end"/>
        </w:r>
      </w:p>
    </w:sdtContent>
  </w:sdt>
  <w:p w:rsidR="001F28C0" w:rsidRDefault="001F28C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F28C0" w:rsidRPr="00CA1A0E" w:rsidRDefault="001F28C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4213F6">
          <w:rPr>
            <w:rFonts w:ascii="Times New Roman" w:hAnsi="Times New Roman"/>
            <w:noProof/>
            <w:sz w:val="28"/>
            <w:szCs w:val="28"/>
          </w:rPr>
          <w:t>13</w:t>
        </w:r>
        <w:r w:rsidRPr="00CA1A0E">
          <w:rPr>
            <w:rFonts w:ascii="Times New Roman" w:hAnsi="Times New Roman"/>
            <w:sz w:val="28"/>
            <w:szCs w:val="28"/>
          </w:rPr>
          <w:fldChar w:fldCharType="end"/>
        </w:r>
      </w:p>
    </w:sdtContent>
  </w:sdt>
  <w:p w:rsidR="001F28C0" w:rsidRDefault="001F28C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C0" w:rsidRDefault="001F28C0">
    <w:pPr>
      <w:pStyle w:val="a8"/>
      <w:jc w:val="center"/>
    </w:pPr>
  </w:p>
  <w:p w:rsidR="001F28C0" w:rsidRDefault="001F28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16ADF"/>
    <w:rsid w:val="004213F6"/>
    <w:rsid w:val="00421511"/>
    <w:rsid w:val="00422E1A"/>
    <w:rsid w:val="004259D5"/>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38B7"/>
    <w:rsid w:val="00575192"/>
    <w:rsid w:val="00575976"/>
    <w:rsid w:val="00577579"/>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9751-C0DA-43F8-B99E-0626ACAC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18199</Words>
  <Characters>103739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2025-06-30T06:50:00Z</dcterms:created>
  <dcterms:modified xsi:type="dcterms:W3CDTF">2025-06-30T06:50:00Z</dcterms:modified>
</cp:coreProperties>
</file>